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A3B4B" w14:textId="2082CB35" w:rsidR="00CE3AB7" w:rsidRPr="00CE3AB7" w:rsidRDefault="00CE3AB7" w:rsidP="00CE3AB7">
      <w:pPr>
        <w:tabs>
          <w:tab w:val="center" w:pos="4513"/>
          <w:tab w:val="right" w:pos="9026"/>
        </w:tabs>
        <w:spacing w:after="0" w:line="240" w:lineRule="auto"/>
        <w:ind w:left="3407" w:firstLine="4513"/>
        <w:rPr>
          <w:b/>
          <w:color w:val="2F5496" w:themeColor="accent1" w:themeShade="BF"/>
        </w:rPr>
      </w:pPr>
      <w:r w:rsidRPr="00CE3AB7">
        <w:rPr>
          <w:b/>
          <w:noProof/>
          <w:color w:val="2F5496" w:themeColor="accent1" w:themeShade="BF"/>
          <w:sz w:val="36"/>
          <w:lang w:val="en-US"/>
        </w:rPr>
        <w:drawing>
          <wp:anchor distT="0" distB="0" distL="114300" distR="114300" simplePos="0" relativeHeight="251659264" behindDoc="0" locked="0" layoutInCell="1" allowOverlap="1" wp14:anchorId="38D3F6C8" wp14:editId="36AF27F4">
            <wp:simplePos x="0" y="0"/>
            <wp:positionH relativeFrom="margin">
              <wp:posOffset>-140970</wp:posOffset>
            </wp:positionH>
            <wp:positionV relativeFrom="paragraph">
              <wp:posOffset>17145</wp:posOffset>
            </wp:positionV>
            <wp:extent cx="3130296" cy="88696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 Le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296" cy="886968"/>
                    </a:xfrm>
                    <a:prstGeom prst="rect">
                      <a:avLst/>
                    </a:prstGeom>
                  </pic:spPr>
                </pic:pic>
              </a:graphicData>
            </a:graphic>
            <wp14:sizeRelH relativeFrom="page">
              <wp14:pctWidth>0</wp14:pctWidth>
            </wp14:sizeRelH>
            <wp14:sizeRelV relativeFrom="page">
              <wp14:pctHeight>0</wp14:pctHeight>
            </wp14:sizeRelV>
          </wp:anchor>
        </w:drawing>
      </w:r>
      <w:r w:rsidRPr="00CE3AB7">
        <w:rPr>
          <w:b/>
          <w:color w:val="2F5496" w:themeColor="accent1" w:themeShade="BF"/>
          <w:sz w:val="36"/>
        </w:rPr>
        <w:t>William Lee Ltd.</w:t>
      </w:r>
    </w:p>
    <w:p w14:paraId="52D1AA0D" w14:textId="77777777" w:rsidR="00CE3AB7" w:rsidRPr="00CE3AB7" w:rsidRDefault="00CE3AB7" w:rsidP="00CE3AB7">
      <w:pPr>
        <w:tabs>
          <w:tab w:val="center" w:pos="4513"/>
          <w:tab w:val="right" w:pos="9026"/>
        </w:tabs>
        <w:spacing w:after="0" w:line="240" w:lineRule="auto"/>
        <w:jc w:val="right"/>
        <w:rPr>
          <w:b/>
          <w:sz w:val="2"/>
        </w:rPr>
      </w:pPr>
    </w:p>
    <w:p w14:paraId="50758DA9"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b/>
          <w:color w:val="2F5496" w:themeColor="accent1" w:themeShade="BF"/>
        </w:rPr>
        <w:tab/>
      </w:r>
      <w:r w:rsidRPr="00CE3AB7">
        <w:rPr>
          <w:b/>
          <w:color w:val="2F5496" w:themeColor="accent1" w:themeShade="BF"/>
        </w:rPr>
        <w:tab/>
        <w:t xml:space="preserve">                                                                      Registered Office &amp; Works</w:t>
      </w:r>
    </w:p>
    <w:p w14:paraId="48C87D89" w14:textId="77777777" w:rsidR="00CE3AB7" w:rsidRPr="00CE3AB7" w:rsidRDefault="00CE3AB7" w:rsidP="00CE3AB7">
      <w:pPr>
        <w:tabs>
          <w:tab w:val="center" w:pos="4513"/>
          <w:tab w:val="right" w:pos="9026"/>
        </w:tabs>
        <w:spacing w:after="0" w:line="240" w:lineRule="auto"/>
        <w:jc w:val="right"/>
        <w:rPr>
          <w:b/>
          <w:color w:val="2F5496" w:themeColor="accent1" w:themeShade="BF"/>
          <w:sz w:val="2"/>
        </w:rPr>
      </w:pPr>
    </w:p>
    <w:p w14:paraId="4E84D53F"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b/>
          <w:color w:val="2F5496" w:themeColor="accent1" w:themeShade="BF"/>
        </w:rPr>
        <w:tab/>
      </w:r>
      <w:r w:rsidRPr="00CE3AB7">
        <w:rPr>
          <w:b/>
          <w:color w:val="2F5496" w:themeColor="accent1" w:themeShade="BF"/>
        </w:rPr>
        <w:tab/>
        <w:t xml:space="preserve">                                                                      Callywhite Lane</w:t>
      </w:r>
    </w:p>
    <w:p w14:paraId="58F5C1FA"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b/>
          <w:color w:val="2F5496" w:themeColor="accent1" w:themeShade="BF"/>
        </w:rPr>
        <w:tab/>
        <w:t xml:space="preserve">     </w:t>
      </w:r>
      <w:r w:rsidRPr="00CE3AB7">
        <w:rPr>
          <w:b/>
          <w:color w:val="2F5496" w:themeColor="accent1" w:themeShade="BF"/>
        </w:rPr>
        <w:tab/>
        <w:t xml:space="preserve">                                                                 Dronfield, Derbyshire</w:t>
      </w:r>
    </w:p>
    <w:p w14:paraId="671F89D5"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noProof/>
          <w:lang w:val="en-US"/>
        </w:rPr>
        <mc:AlternateContent>
          <mc:Choice Requires="wps">
            <w:drawing>
              <wp:anchor distT="0" distB="0" distL="114300" distR="114300" simplePos="0" relativeHeight="251660288" behindDoc="0" locked="0" layoutInCell="1" allowOverlap="1" wp14:anchorId="789C988C" wp14:editId="2A953C0E">
                <wp:simplePos x="0" y="0"/>
                <wp:positionH relativeFrom="column">
                  <wp:posOffset>-57150</wp:posOffset>
                </wp:positionH>
                <wp:positionV relativeFrom="paragraph">
                  <wp:posOffset>74930</wp:posOffset>
                </wp:positionV>
                <wp:extent cx="33051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305175" cy="295275"/>
                        </a:xfrm>
                        <a:prstGeom prst="rect">
                          <a:avLst/>
                        </a:prstGeom>
                        <a:noFill/>
                        <a:ln w="6350">
                          <a:noFill/>
                        </a:ln>
                      </wps:spPr>
                      <wps:txbx>
                        <w:txbxContent>
                          <w:p w14:paraId="5F6E9724" w14:textId="77777777" w:rsidR="00CE3AB7" w:rsidRPr="00CB7147" w:rsidRDefault="00CE3AB7" w:rsidP="00CE3AB7">
                            <w:pPr>
                              <w:rPr>
                                <w:b/>
                                <w:sz w:val="20"/>
                              </w:rPr>
                            </w:pPr>
                            <w:r w:rsidRPr="00CB7147">
                              <w:rPr>
                                <w:b/>
                                <w:color w:val="FF0000"/>
                                <w:sz w:val="24"/>
                                <w:szCs w:val="26"/>
                              </w:rPr>
                              <w:t xml:space="preserve">SG Iron Castings to International Specification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C988C" id="_x0000_t202" coordsize="21600,21600" o:spt="202" path="m,l,21600r21600,l21600,xe">
                <v:stroke joinstyle="miter"/>
                <v:path gradientshapeok="t" o:connecttype="rect"/>
              </v:shapetype>
              <v:shape id="Text Box 2" o:spid="_x0000_s1026" type="#_x0000_t202" style="position:absolute;margin-left:-4.5pt;margin-top:5.9pt;width:260.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" filled="f" stroked="f" strokeweight=".5pt">
                <v:textbox>
                  <w:txbxContent>
                    <w:p w14:paraId="5F6E9724" w14:textId="77777777" w:rsidR="00CE3AB7" w:rsidRPr="00CB7147" w:rsidRDefault="00CE3AB7" w:rsidP="00CE3AB7">
                      <w:pPr>
                        <w:rPr>
                          <w:b/>
                          <w:sz w:val="20"/>
                        </w:rPr>
                      </w:pPr>
                      <w:r w:rsidRPr="00CB7147">
                        <w:rPr>
                          <w:b/>
                          <w:color w:val="FF0000"/>
                          <w:sz w:val="24"/>
                          <w:szCs w:val="26"/>
                        </w:rPr>
                        <w:t xml:space="preserve">SG Iron Castings to International Specification                                                       </w:t>
                      </w:r>
                    </w:p>
                  </w:txbxContent>
                </v:textbox>
              </v:shape>
            </w:pict>
          </mc:Fallback>
        </mc:AlternateContent>
      </w:r>
      <w:r w:rsidRPr="00CE3AB7">
        <w:rPr>
          <w:b/>
          <w:color w:val="2F5496" w:themeColor="accent1" w:themeShade="BF"/>
        </w:rPr>
        <w:tab/>
      </w:r>
      <w:r w:rsidRPr="00CE3AB7">
        <w:rPr>
          <w:b/>
          <w:color w:val="2F5496" w:themeColor="accent1" w:themeShade="BF"/>
        </w:rPr>
        <w:tab/>
        <w:t xml:space="preserve">                                                                      England, S18 2XU</w:t>
      </w:r>
    </w:p>
    <w:p w14:paraId="3FF78D71"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b/>
          <w:color w:val="2F5496" w:themeColor="accent1" w:themeShade="BF"/>
        </w:rPr>
        <w:tab/>
      </w:r>
      <w:r w:rsidRPr="00CE3AB7">
        <w:rPr>
          <w:b/>
          <w:color w:val="2F5496" w:themeColor="accent1" w:themeShade="BF"/>
        </w:rPr>
        <w:tab/>
        <w:t xml:space="preserve">                                                                      Telephone: 01246 416155</w:t>
      </w:r>
    </w:p>
    <w:p w14:paraId="16F9F275"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b/>
          <w:color w:val="2F5496" w:themeColor="accent1" w:themeShade="BF"/>
        </w:rPr>
        <w:tab/>
      </w:r>
      <w:r w:rsidRPr="00CE3AB7">
        <w:rPr>
          <w:b/>
          <w:color w:val="2F5496" w:themeColor="accent1" w:themeShade="BF"/>
        </w:rPr>
        <w:tab/>
        <w:t xml:space="preserve">                                                                      Fax: 01246 417165</w:t>
      </w:r>
    </w:p>
    <w:p w14:paraId="0DD73425"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b/>
          <w:color w:val="2F5496" w:themeColor="accent1" w:themeShade="BF"/>
        </w:rPr>
        <w:tab/>
      </w:r>
      <w:r w:rsidRPr="00CE3AB7">
        <w:rPr>
          <w:b/>
          <w:color w:val="2F5496" w:themeColor="accent1" w:themeShade="BF"/>
        </w:rPr>
        <w:tab/>
        <w:t xml:space="preserve">                                                                      Sales Fax: 01246 292184</w:t>
      </w:r>
    </w:p>
    <w:p w14:paraId="13F8276A" w14:textId="77777777" w:rsidR="00CE3AB7" w:rsidRPr="00CE3AB7" w:rsidRDefault="00CE3AB7" w:rsidP="00CE3AB7">
      <w:pPr>
        <w:tabs>
          <w:tab w:val="center" w:pos="4513"/>
          <w:tab w:val="right" w:pos="9026"/>
        </w:tabs>
        <w:spacing w:after="0" w:line="240" w:lineRule="auto"/>
        <w:rPr>
          <w:b/>
          <w:color w:val="2F5496" w:themeColor="accent1" w:themeShade="BF"/>
        </w:rPr>
      </w:pPr>
      <w:r w:rsidRPr="00CE3AB7">
        <w:rPr>
          <w:b/>
          <w:color w:val="2F5496" w:themeColor="accent1" w:themeShade="BF"/>
        </w:rPr>
        <w:tab/>
      </w:r>
      <w:r w:rsidRPr="00CE3AB7">
        <w:rPr>
          <w:b/>
          <w:color w:val="2F5496" w:themeColor="accent1" w:themeShade="BF"/>
        </w:rPr>
        <w:tab/>
        <w:t xml:space="preserve">                                                                      www.wmlee.co.uk</w:t>
      </w:r>
    </w:p>
    <w:p w14:paraId="320CDB49" w14:textId="134960D6" w:rsidR="00B01E43" w:rsidRPr="006176FD" w:rsidRDefault="00B01E43" w:rsidP="00B01E43">
      <w:pPr>
        <w:rPr>
          <w:b/>
          <w:sz w:val="24"/>
        </w:rPr>
      </w:pPr>
      <w:r>
        <w:rPr>
          <w:b/>
          <w:sz w:val="24"/>
        </w:rPr>
        <w:t>Gender Pay Gap Information – 5 April 20</w:t>
      </w:r>
      <w:r w:rsidR="00646381">
        <w:rPr>
          <w:b/>
          <w:sz w:val="24"/>
        </w:rPr>
        <w:t>2</w:t>
      </w:r>
      <w:r w:rsidR="00AF1777">
        <w:rPr>
          <w:b/>
          <w:sz w:val="24"/>
        </w:rPr>
        <w:t>0</w:t>
      </w:r>
    </w:p>
    <w:p w14:paraId="324547D4" w14:textId="77777777" w:rsidR="00B01E43" w:rsidRPr="00770967" w:rsidRDefault="00B01E43" w:rsidP="00B01E43">
      <w:pPr>
        <w:jc w:val="both"/>
        <w:rPr>
          <w:rFonts w:cstheme="minorHAnsi"/>
        </w:rPr>
      </w:pPr>
      <w:r w:rsidRPr="00770967">
        <w:rPr>
          <w:rFonts w:cstheme="minorHAnsi"/>
        </w:rPr>
        <w:t>The information presented has been prepared in accordance with the Equality Act 2010 (Gender Pay Gap Information) Regulations 2017. Our figures adhere to specified time periods, criteria and calculations as defined by the Gender Pay Gap legislation. We have taken all reasonable steps to ensure their accuracy.</w:t>
      </w:r>
    </w:p>
    <w:p w14:paraId="26E14E5C" w14:textId="77777777" w:rsidR="00B01E43" w:rsidRPr="00770967" w:rsidRDefault="00B01E43" w:rsidP="00B01E43">
      <w:pPr>
        <w:jc w:val="both"/>
        <w:rPr>
          <w:rFonts w:cstheme="minorHAnsi"/>
        </w:rPr>
      </w:pPr>
      <w:r w:rsidRPr="00770967">
        <w:rPr>
          <w:rFonts w:cstheme="minorHAnsi"/>
        </w:rPr>
        <w:t>The Gender Pay Gap is defined as the difference in the average earnings of male and female employees across the company. It is important to note that the Gender Pay Gap is not the same as equal pay. Equal pay looks at the pay of males and females in the same or equivalent roles. Gender Pay looks at the pay of males and females across the whole company regardless of their role.</w:t>
      </w:r>
    </w:p>
    <w:p w14:paraId="726A8AF2" w14:textId="77777777" w:rsidR="00B01E43" w:rsidRPr="00F96050" w:rsidRDefault="00B01E43" w:rsidP="00B01E43">
      <w:pPr>
        <w:jc w:val="both"/>
        <w:rPr>
          <w:b/>
          <w:sz w:val="24"/>
        </w:rPr>
      </w:pPr>
      <w:r w:rsidRPr="00F96050">
        <w:rPr>
          <w:b/>
          <w:sz w:val="24"/>
        </w:rPr>
        <w:t>1. Gender pay gap</w:t>
      </w:r>
    </w:p>
    <w:p w14:paraId="7C616A75" w14:textId="77777777" w:rsidR="00B01E43" w:rsidRDefault="00B01E43" w:rsidP="00B01E43">
      <w:pPr>
        <w:jc w:val="both"/>
      </w:pPr>
      <w:r>
        <w:t>The percentage difference between female employee hourly pay compared to male employees:</w:t>
      </w:r>
    </w:p>
    <w:p w14:paraId="403E1725" w14:textId="7B11F58D" w:rsidR="00B01E43" w:rsidRPr="00C969C1" w:rsidRDefault="00B01E43" w:rsidP="00B01E43">
      <w:pPr>
        <w:numPr>
          <w:ilvl w:val="0"/>
          <w:numId w:val="1"/>
        </w:numPr>
        <w:spacing w:after="0" w:line="240" w:lineRule="auto"/>
        <w:jc w:val="both"/>
      </w:pPr>
      <w:r>
        <w:t>Mean</w:t>
      </w:r>
      <w:r>
        <w:tab/>
      </w:r>
      <w:r>
        <w:tab/>
        <w:t xml:space="preserve">  </w:t>
      </w:r>
      <w:r w:rsidR="00406E76">
        <w:t>3.3</w:t>
      </w:r>
      <w:r>
        <w:t xml:space="preserve">% </w:t>
      </w:r>
      <w:r w:rsidRPr="00C969C1">
        <w:t>lower</w:t>
      </w:r>
      <w:r w:rsidR="00C13A2F" w:rsidRPr="00C969C1">
        <w:t xml:space="preserve">   (20</w:t>
      </w:r>
      <w:r w:rsidR="00406E76" w:rsidRPr="00C969C1">
        <w:t>18</w:t>
      </w:r>
      <w:r w:rsidR="00C13A2F" w:rsidRPr="00C969C1">
        <w:t xml:space="preserve"> – </w:t>
      </w:r>
      <w:r w:rsidR="00406E76" w:rsidRPr="00C969C1">
        <w:t>6</w:t>
      </w:r>
      <w:r w:rsidR="00C13A2F" w:rsidRPr="00C969C1">
        <w:t>.5% lower</w:t>
      </w:r>
      <w:r w:rsidR="00C969C1" w:rsidRPr="00C969C1">
        <w:t>; 2017 – 9.5% lower)</w:t>
      </w:r>
    </w:p>
    <w:p w14:paraId="290ABE09" w14:textId="192A43D5" w:rsidR="00B01E43" w:rsidRDefault="00B01E43" w:rsidP="00B01E43">
      <w:pPr>
        <w:numPr>
          <w:ilvl w:val="0"/>
          <w:numId w:val="1"/>
        </w:numPr>
        <w:spacing w:after="0" w:line="240" w:lineRule="auto"/>
        <w:jc w:val="both"/>
      </w:pPr>
      <w:r w:rsidRPr="00C969C1">
        <w:t>Median</w:t>
      </w:r>
      <w:r w:rsidRPr="00C969C1">
        <w:tab/>
      </w:r>
      <w:r w:rsidRPr="00C969C1">
        <w:tab/>
      </w:r>
      <w:r w:rsidR="00376351" w:rsidRPr="00C969C1">
        <w:t xml:space="preserve">  </w:t>
      </w:r>
      <w:r w:rsidR="00406E76" w:rsidRPr="00C969C1">
        <w:t>7.0</w:t>
      </w:r>
      <w:r w:rsidRPr="00C969C1">
        <w:t>% lower</w:t>
      </w:r>
      <w:r w:rsidR="00C13A2F" w:rsidRPr="00C969C1">
        <w:t xml:space="preserve">   (20</w:t>
      </w:r>
      <w:r w:rsidR="00406E76" w:rsidRPr="00C969C1">
        <w:t>18</w:t>
      </w:r>
      <w:r w:rsidR="00C13A2F" w:rsidRPr="00C969C1">
        <w:t xml:space="preserve"> – </w:t>
      </w:r>
      <w:r w:rsidR="00406E76" w:rsidRPr="00C969C1">
        <w:t>7.6</w:t>
      </w:r>
      <w:r w:rsidR="00C13A2F" w:rsidRPr="00C969C1">
        <w:t>% lower</w:t>
      </w:r>
      <w:r w:rsidR="00C969C1" w:rsidRPr="00C969C1">
        <w:t>: 2017</w:t>
      </w:r>
      <w:r w:rsidR="00C969C1">
        <w:t xml:space="preserve"> – 10.6% lower)</w:t>
      </w:r>
    </w:p>
    <w:p w14:paraId="1C291FB6" w14:textId="77777777" w:rsidR="00C83C54" w:rsidRDefault="00C83C54" w:rsidP="00B01E43">
      <w:pPr>
        <w:jc w:val="both"/>
      </w:pPr>
    </w:p>
    <w:p w14:paraId="446CFF85" w14:textId="77777777" w:rsidR="00406E76" w:rsidRPr="00EA1F7B" w:rsidRDefault="00B01E43" w:rsidP="00B01E43">
      <w:pPr>
        <w:jc w:val="both"/>
      </w:pPr>
      <w:r>
        <w:t xml:space="preserve">The average hourly pay of </w:t>
      </w:r>
      <w:r w:rsidRPr="00C13A2F">
        <w:t xml:space="preserve">males is </w:t>
      </w:r>
      <w:r w:rsidR="00406E76">
        <w:t>3.3</w:t>
      </w:r>
      <w:r w:rsidRPr="00C13A2F">
        <w:t>% higher</w:t>
      </w:r>
      <w:r>
        <w:t xml:space="preserve"> than that of females which</w:t>
      </w:r>
      <w:r w:rsidR="0028560E">
        <w:t xml:space="preserve"> </w:t>
      </w:r>
      <w:r w:rsidR="0028560E" w:rsidRPr="00EA1F7B">
        <w:t>represents an improvement on the 201</w:t>
      </w:r>
      <w:r w:rsidR="00406E76" w:rsidRPr="00EA1F7B">
        <w:t>8</w:t>
      </w:r>
      <w:r w:rsidR="0028560E" w:rsidRPr="00EA1F7B">
        <w:t xml:space="preserve"> position. The </w:t>
      </w:r>
      <w:r w:rsidRPr="00EA1F7B">
        <w:t>primarily</w:t>
      </w:r>
      <w:r w:rsidR="0028560E" w:rsidRPr="00EA1F7B">
        <w:t xml:space="preserve"> reason for the pay gap</w:t>
      </w:r>
      <w:r w:rsidRPr="00EA1F7B">
        <w:t xml:space="preserve"> is</w:t>
      </w:r>
      <w:r w:rsidR="0028560E" w:rsidRPr="00EA1F7B">
        <w:t xml:space="preserve"> because there is</w:t>
      </w:r>
      <w:r w:rsidRPr="00EA1F7B">
        <w:t xml:space="preserve"> less female representation in the upper pay bands compared to the lower pay bands.</w:t>
      </w:r>
    </w:p>
    <w:p w14:paraId="70B244AF" w14:textId="66BC83B4" w:rsidR="00B01E43" w:rsidRPr="00EA1F7B" w:rsidRDefault="00406E76" w:rsidP="00B01E43">
      <w:pPr>
        <w:jc w:val="both"/>
      </w:pPr>
      <w:r w:rsidRPr="00EA1F7B">
        <w:t xml:space="preserve">The figures </w:t>
      </w:r>
      <w:r w:rsidR="00B01E43" w:rsidRPr="00EA1F7B">
        <w:t>compare favourably to the Office for National Statistics estimate</w:t>
      </w:r>
      <w:r w:rsidRPr="00EA1F7B">
        <w:t xml:space="preserve"> at</w:t>
      </w:r>
      <w:r w:rsidR="00B01E43" w:rsidRPr="00EA1F7B">
        <w:t xml:space="preserve"> 1</w:t>
      </w:r>
      <w:r w:rsidRPr="00EA1F7B">
        <w:t>4.6</w:t>
      </w:r>
      <w:r w:rsidR="00B01E43" w:rsidRPr="00EA1F7B">
        <w:t>% mean gender pay gap across all UK industries in 20</w:t>
      </w:r>
      <w:r w:rsidRPr="00EA1F7B">
        <w:t>20</w:t>
      </w:r>
      <w:r w:rsidR="00B01E43" w:rsidRPr="00EA1F7B">
        <w:t xml:space="preserve"> and 1</w:t>
      </w:r>
      <w:r w:rsidRPr="00EA1F7B">
        <w:t>1.5</w:t>
      </w:r>
      <w:r w:rsidR="00B01E43" w:rsidRPr="00EA1F7B">
        <w:t xml:space="preserve">% within the manufacturing sector. </w:t>
      </w:r>
    </w:p>
    <w:p w14:paraId="74B0EF55" w14:textId="2C25E29A" w:rsidR="00406E76" w:rsidRDefault="00406E76" w:rsidP="00B01E43">
      <w:pPr>
        <w:jc w:val="both"/>
      </w:pPr>
      <w:r w:rsidRPr="00EA1F7B">
        <w:t>The median figure gives an indication about the difference in the middle hourly rate of pay within the organisation. This statistic shows a higher median hourly rate of pay</w:t>
      </w:r>
      <w:r w:rsidR="003121B1" w:rsidRPr="00EA1F7B">
        <w:t xml:space="preserve"> of males </w:t>
      </w:r>
      <w:r w:rsidR="00A77ADE">
        <w:t xml:space="preserve">of </w:t>
      </w:r>
      <w:r w:rsidR="003121B1" w:rsidRPr="00EA1F7B">
        <w:t>7.0% higher</w:t>
      </w:r>
      <w:r w:rsidR="00A77ADE">
        <w:t xml:space="preserve">, </w:t>
      </w:r>
      <w:r w:rsidR="003121B1" w:rsidRPr="00EA1F7B">
        <w:t>which represents an improvement on the 2018 position.</w:t>
      </w:r>
      <w:r>
        <w:t xml:space="preserve"> </w:t>
      </w:r>
    </w:p>
    <w:p w14:paraId="0201D6ED" w14:textId="77777777" w:rsidR="00B01E43" w:rsidRPr="00F96050" w:rsidRDefault="00B01E43" w:rsidP="00B01E43">
      <w:pPr>
        <w:jc w:val="both"/>
        <w:rPr>
          <w:b/>
          <w:sz w:val="24"/>
        </w:rPr>
      </w:pPr>
      <w:r w:rsidRPr="00F96050">
        <w:rPr>
          <w:b/>
          <w:sz w:val="24"/>
        </w:rPr>
        <w:t xml:space="preserve">2. Bonus gender pay gap </w:t>
      </w:r>
    </w:p>
    <w:p w14:paraId="1B9F0490" w14:textId="77777777" w:rsidR="00B01E43" w:rsidRDefault="00B01E43" w:rsidP="00B01E43">
      <w:pPr>
        <w:jc w:val="both"/>
      </w:pPr>
      <w:r>
        <w:t>The percentage difference between total bonus pay in the year for female employees compared to male employees:</w:t>
      </w:r>
    </w:p>
    <w:p w14:paraId="3E7EC036" w14:textId="47807C6E" w:rsidR="00B01E43" w:rsidRPr="00C969C1" w:rsidRDefault="00B01E43" w:rsidP="00B01E43">
      <w:pPr>
        <w:numPr>
          <w:ilvl w:val="0"/>
          <w:numId w:val="1"/>
        </w:numPr>
        <w:spacing w:after="0" w:line="240" w:lineRule="auto"/>
        <w:jc w:val="both"/>
      </w:pPr>
      <w:r>
        <w:t>Mean</w:t>
      </w:r>
      <w:r>
        <w:tab/>
      </w:r>
      <w:r>
        <w:tab/>
      </w:r>
      <w:r w:rsidR="00B97CC1" w:rsidRPr="00D629B1">
        <w:t>3</w:t>
      </w:r>
      <w:r w:rsidR="00D629B1" w:rsidRPr="00D629B1">
        <w:t>2</w:t>
      </w:r>
      <w:r w:rsidR="00B97CC1" w:rsidRPr="00D629B1">
        <w:t>.</w:t>
      </w:r>
      <w:r w:rsidR="00D629B1" w:rsidRPr="00D629B1">
        <w:t>6</w:t>
      </w:r>
      <w:r w:rsidRPr="00D629B1">
        <w:t>% lower</w:t>
      </w:r>
      <w:r w:rsidR="00E5508C">
        <w:t xml:space="preserve">   </w:t>
      </w:r>
      <w:r w:rsidR="00E5508C" w:rsidRPr="00C969C1">
        <w:t>(201</w:t>
      </w:r>
      <w:r w:rsidR="00EA1F7B" w:rsidRPr="00C969C1">
        <w:t>8</w:t>
      </w:r>
      <w:r w:rsidR="00E5508C" w:rsidRPr="00C969C1">
        <w:t xml:space="preserve"> – </w:t>
      </w:r>
      <w:r w:rsidR="00C969C1" w:rsidRPr="00C969C1">
        <w:t>30.8</w:t>
      </w:r>
      <w:r w:rsidR="00E5508C" w:rsidRPr="00C969C1">
        <w:t>% lower</w:t>
      </w:r>
      <w:r w:rsidR="00C969C1" w:rsidRPr="00C969C1">
        <w:t>: 2017 – 49.5% lower)</w:t>
      </w:r>
    </w:p>
    <w:p w14:paraId="1FA0B56E" w14:textId="320F658A" w:rsidR="00B01E43" w:rsidRPr="00C969C1" w:rsidRDefault="00B01E43" w:rsidP="00B01E43">
      <w:pPr>
        <w:numPr>
          <w:ilvl w:val="0"/>
          <w:numId w:val="1"/>
        </w:numPr>
        <w:spacing w:after="0" w:line="240" w:lineRule="auto"/>
        <w:jc w:val="both"/>
      </w:pPr>
      <w:r w:rsidRPr="00C969C1">
        <w:t>Median</w:t>
      </w:r>
      <w:r w:rsidRPr="00C969C1">
        <w:tab/>
      </w:r>
      <w:r w:rsidRPr="00C969C1">
        <w:tab/>
      </w:r>
      <w:r w:rsidR="00957C2D" w:rsidRPr="00C969C1">
        <w:t>14.3</w:t>
      </w:r>
      <w:r w:rsidRPr="00C969C1">
        <w:t>% lower</w:t>
      </w:r>
      <w:r w:rsidR="00E5508C" w:rsidRPr="00C969C1">
        <w:t xml:space="preserve">   (201</w:t>
      </w:r>
      <w:r w:rsidR="00957C2D" w:rsidRPr="00C969C1">
        <w:t>8</w:t>
      </w:r>
      <w:r w:rsidR="00E5508C" w:rsidRPr="00C969C1">
        <w:t xml:space="preserve"> – </w:t>
      </w:r>
      <w:r w:rsidR="00957C2D" w:rsidRPr="00C969C1">
        <w:t>54.4</w:t>
      </w:r>
      <w:r w:rsidR="00E5508C" w:rsidRPr="00C969C1">
        <w:t>% lower</w:t>
      </w:r>
      <w:r w:rsidR="00C969C1" w:rsidRPr="00C969C1">
        <w:t>; 2017 – 41.8% lower</w:t>
      </w:r>
      <w:r w:rsidR="00E5508C" w:rsidRPr="00C969C1">
        <w:t>)</w:t>
      </w:r>
    </w:p>
    <w:p w14:paraId="735D0052" w14:textId="77777777" w:rsidR="00C83C54" w:rsidRPr="00C969C1" w:rsidRDefault="00C83C54" w:rsidP="00B01E43">
      <w:pPr>
        <w:jc w:val="both"/>
      </w:pPr>
    </w:p>
    <w:p w14:paraId="3E64237E" w14:textId="3D1D2977" w:rsidR="00957C2D" w:rsidRDefault="00B01E43" w:rsidP="00B01E43">
      <w:pPr>
        <w:jc w:val="both"/>
      </w:pPr>
      <w:r w:rsidRPr="00C969C1">
        <w:t>Our bonus gap is representative of the fact that there are fewer women in</w:t>
      </w:r>
      <w:r w:rsidR="00957C2D" w:rsidRPr="00C969C1">
        <w:t xml:space="preserve"> senior roles in the organisation</w:t>
      </w:r>
      <w:r w:rsidR="00C969C1" w:rsidRPr="00C969C1">
        <w:t xml:space="preserve"> </w:t>
      </w:r>
      <w:r w:rsidR="00BD2A73" w:rsidRPr="00C969C1">
        <w:t>and</w:t>
      </w:r>
      <w:r w:rsidR="00C969C1" w:rsidRPr="00C969C1">
        <w:t xml:space="preserve"> there was a higher proportion of female new employees in the period who were not yet eligible for bonus payments</w:t>
      </w:r>
      <w:r w:rsidR="00C969C1">
        <w:t xml:space="preserve">. </w:t>
      </w:r>
    </w:p>
    <w:p w14:paraId="51E22EF1" w14:textId="1290F03A" w:rsidR="00B01E43" w:rsidRPr="00770967" w:rsidRDefault="00957C2D" w:rsidP="00B01E43">
      <w:pPr>
        <w:jc w:val="both"/>
        <w:rPr>
          <w:rFonts w:cstheme="minorHAnsi"/>
        </w:rPr>
      </w:pPr>
      <w:r>
        <w:t xml:space="preserve">The bonus gap is based on the total bonus pay received during the year without taking account of the impact of those who joined the company part way through the year. </w:t>
      </w:r>
      <w:r w:rsidR="00B01E43">
        <w:t xml:space="preserve">The median figure gives an indication about the difference in the middle bonus payments within the organisation. </w:t>
      </w:r>
    </w:p>
    <w:p w14:paraId="6D2FB5C8" w14:textId="768B76D9" w:rsidR="00CE3AB7" w:rsidRPr="00770967" w:rsidRDefault="00B01E43" w:rsidP="00CE3AB7">
      <w:pPr>
        <w:jc w:val="both"/>
        <w:rPr>
          <w:rFonts w:eastAsia="Times New Roman" w:cstheme="minorHAnsi"/>
          <w:szCs w:val="20"/>
          <w:lang w:eastAsia="en-GB"/>
        </w:rPr>
      </w:pPr>
      <w:r w:rsidRPr="002B535E">
        <w:rPr>
          <w:rFonts w:cstheme="minorHAnsi"/>
        </w:rPr>
        <w:t xml:space="preserve">Our workforce includes </w:t>
      </w:r>
      <w:r w:rsidR="002B535E">
        <w:rPr>
          <w:rFonts w:cstheme="minorHAnsi"/>
        </w:rPr>
        <w:t>19.2%</w:t>
      </w:r>
      <w:r w:rsidRPr="002B535E">
        <w:rPr>
          <w:rFonts w:cstheme="minorHAnsi"/>
        </w:rPr>
        <w:t xml:space="preserve"> of women who </w:t>
      </w:r>
      <w:r w:rsidR="002B535E">
        <w:rPr>
          <w:rFonts w:cstheme="minorHAnsi"/>
        </w:rPr>
        <w:t xml:space="preserve">joined during the year </w:t>
      </w:r>
      <w:r w:rsidRPr="002B535E">
        <w:rPr>
          <w:rFonts w:cstheme="minorHAnsi"/>
        </w:rPr>
        <w:t xml:space="preserve">compared to </w:t>
      </w:r>
      <w:r w:rsidR="002B535E">
        <w:rPr>
          <w:rFonts w:cstheme="minorHAnsi"/>
        </w:rPr>
        <w:t>5.2</w:t>
      </w:r>
      <w:r w:rsidRPr="002B535E">
        <w:rPr>
          <w:rFonts w:cstheme="minorHAnsi"/>
        </w:rPr>
        <w:t>% of men</w:t>
      </w:r>
      <w:r w:rsidR="00D75D47" w:rsidRPr="002B535E">
        <w:rPr>
          <w:rFonts w:cstheme="minorHAnsi"/>
        </w:rPr>
        <w:t>.</w:t>
      </w:r>
      <w:r w:rsidR="00CE3AB7" w:rsidRPr="002B535E">
        <w:rPr>
          <w:rFonts w:eastAsia="Times New Roman" w:cstheme="minorHAnsi"/>
          <w:szCs w:val="20"/>
          <w:lang w:eastAsia="en-GB"/>
        </w:rPr>
        <w:t xml:space="preserve"> </w:t>
      </w:r>
    </w:p>
    <w:p w14:paraId="53B0D84B" w14:textId="77777777" w:rsidR="00CE3AB7" w:rsidRPr="00CE3AB7" w:rsidRDefault="00CE3AB7" w:rsidP="00CE3AB7">
      <w:pPr>
        <w:spacing w:after="0" w:line="240" w:lineRule="auto"/>
        <w:jc w:val="both"/>
        <w:rPr>
          <w:rFonts w:ascii="Arial" w:eastAsia="Times New Roman" w:hAnsi="Arial" w:cs="Times New Roman"/>
          <w:szCs w:val="20"/>
          <w:lang w:eastAsia="en-GB"/>
        </w:rPr>
      </w:pPr>
    </w:p>
    <w:p w14:paraId="42669501" w14:textId="77777777" w:rsidR="00CE3AB7" w:rsidRPr="00CE3AB7" w:rsidRDefault="00CE3AB7" w:rsidP="00CE3AB7">
      <w:pPr>
        <w:spacing w:after="0" w:line="240" w:lineRule="auto"/>
        <w:jc w:val="both"/>
        <w:rPr>
          <w:rFonts w:ascii="Arial" w:eastAsia="Times New Roman" w:hAnsi="Arial" w:cs="Times New Roman"/>
          <w:b/>
          <w:sz w:val="24"/>
          <w:szCs w:val="20"/>
          <w:lang w:eastAsia="en-GB"/>
        </w:rPr>
      </w:pPr>
      <w:r w:rsidRPr="00CE3AB7">
        <w:rPr>
          <w:rFonts w:ascii="Arial" w:eastAsia="Times New Roman" w:hAnsi="Arial" w:cs="Times New Roman"/>
          <w:b/>
          <w:sz w:val="24"/>
          <w:szCs w:val="20"/>
          <w:lang w:eastAsia="en-GB"/>
        </w:rPr>
        <w:t xml:space="preserve">3. Proportion of males and females who received a bonus payment </w:t>
      </w:r>
    </w:p>
    <w:p w14:paraId="746F2672" w14:textId="564A0121" w:rsidR="004A70C7" w:rsidRPr="00CE3AB7" w:rsidRDefault="00CE3AB7" w:rsidP="00E4627A">
      <w:pPr>
        <w:spacing w:after="0" w:line="240" w:lineRule="auto"/>
        <w:jc w:val="both"/>
        <w:rPr>
          <w:rFonts w:eastAsia="Times New Roman" w:cstheme="minorHAnsi"/>
          <w:szCs w:val="20"/>
          <w:lang w:eastAsia="en-GB"/>
        </w:rPr>
      </w:pPr>
      <w:r w:rsidRPr="00CE3AB7">
        <w:rPr>
          <w:rFonts w:eastAsia="Times New Roman" w:cstheme="minorHAnsi"/>
          <w:szCs w:val="20"/>
          <w:lang w:eastAsia="en-GB"/>
        </w:rPr>
        <w:t xml:space="preserve">The proportion of males and females who received a bonus during the year was </w:t>
      </w:r>
      <w:r w:rsidRPr="00D629B1">
        <w:rPr>
          <w:rFonts w:eastAsia="Times New Roman" w:cstheme="minorHAnsi"/>
          <w:szCs w:val="20"/>
          <w:lang w:eastAsia="en-GB"/>
        </w:rPr>
        <w:t>9</w:t>
      </w:r>
      <w:r w:rsidR="00224C2F" w:rsidRPr="00D629B1">
        <w:rPr>
          <w:rFonts w:eastAsia="Times New Roman" w:cstheme="minorHAnsi"/>
          <w:szCs w:val="20"/>
          <w:lang w:eastAsia="en-GB"/>
        </w:rPr>
        <w:t>1.6</w:t>
      </w:r>
      <w:r w:rsidRPr="00D629B1">
        <w:rPr>
          <w:rFonts w:eastAsia="Times New Roman" w:cstheme="minorHAnsi"/>
          <w:szCs w:val="20"/>
          <w:lang w:eastAsia="en-GB"/>
        </w:rPr>
        <w:t xml:space="preserve">% of men and </w:t>
      </w:r>
      <w:r w:rsidR="00224C2F" w:rsidRPr="00D629B1">
        <w:rPr>
          <w:rFonts w:eastAsia="Times New Roman" w:cstheme="minorHAnsi"/>
          <w:szCs w:val="20"/>
          <w:lang w:eastAsia="en-GB"/>
        </w:rPr>
        <w:t>77.1</w:t>
      </w:r>
      <w:r w:rsidRPr="00D629B1">
        <w:rPr>
          <w:rFonts w:eastAsia="Times New Roman" w:cstheme="minorHAnsi"/>
          <w:szCs w:val="20"/>
          <w:lang w:eastAsia="en-GB"/>
        </w:rPr>
        <w:t>%</w:t>
      </w:r>
      <w:r w:rsidRPr="00CE3AB7">
        <w:rPr>
          <w:rFonts w:eastAsia="Times New Roman" w:cstheme="minorHAnsi"/>
          <w:szCs w:val="20"/>
          <w:lang w:eastAsia="en-GB"/>
        </w:rPr>
        <w:t xml:space="preserve"> of women.</w:t>
      </w:r>
      <w:r w:rsidR="00716778">
        <w:rPr>
          <w:rFonts w:eastAsia="Times New Roman" w:cstheme="minorHAnsi"/>
          <w:szCs w:val="20"/>
          <w:lang w:eastAsia="en-GB"/>
        </w:rPr>
        <w:t xml:space="preserve"> </w:t>
      </w:r>
      <w:r w:rsidR="000166ED" w:rsidRPr="00B97CC1">
        <w:rPr>
          <w:rFonts w:eastAsia="Times New Roman" w:cstheme="minorHAnsi"/>
          <w:szCs w:val="20"/>
          <w:lang w:eastAsia="en-GB"/>
        </w:rPr>
        <w:t xml:space="preserve">Of the </w:t>
      </w:r>
      <w:r w:rsidR="00224C2F">
        <w:rPr>
          <w:rFonts w:eastAsia="Times New Roman" w:cstheme="minorHAnsi"/>
          <w:szCs w:val="20"/>
          <w:lang w:eastAsia="en-GB"/>
        </w:rPr>
        <w:t>employees who did not receive a bonus payment, all were new starters during the year and not yet eligible for bonus payments</w:t>
      </w:r>
      <w:r w:rsidR="00E41578">
        <w:rPr>
          <w:rFonts w:eastAsia="Times New Roman" w:cstheme="minorHAnsi"/>
          <w:szCs w:val="20"/>
          <w:lang w:eastAsia="en-GB"/>
        </w:rPr>
        <w:t>, of which there was a higher proportion of females</w:t>
      </w:r>
      <w:r w:rsidR="00224C2F">
        <w:rPr>
          <w:rFonts w:eastAsia="Times New Roman" w:cstheme="minorHAnsi"/>
          <w:szCs w:val="20"/>
          <w:lang w:eastAsia="en-GB"/>
        </w:rPr>
        <w:t>.</w:t>
      </w:r>
    </w:p>
    <w:p w14:paraId="6722D082" w14:textId="77777777" w:rsidR="00CE3AB7" w:rsidRPr="00CE3AB7" w:rsidRDefault="00CE3AB7" w:rsidP="00CE3AB7">
      <w:pPr>
        <w:spacing w:after="0" w:line="240" w:lineRule="auto"/>
        <w:jc w:val="both"/>
        <w:rPr>
          <w:rFonts w:ascii="Arial" w:eastAsia="Times New Roman" w:hAnsi="Arial" w:cs="Times New Roman"/>
          <w:szCs w:val="20"/>
          <w:lang w:eastAsia="en-GB"/>
        </w:rPr>
      </w:pPr>
    </w:p>
    <w:p w14:paraId="3DA5F70D" w14:textId="77777777" w:rsidR="00CE3AB7" w:rsidRPr="00CE3AB7" w:rsidRDefault="00CE3AB7" w:rsidP="00CE3AB7">
      <w:pPr>
        <w:spacing w:after="0" w:line="240" w:lineRule="auto"/>
        <w:jc w:val="both"/>
        <w:rPr>
          <w:rFonts w:ascii="Arial" w:eastAsia="Times New Roman" w:hAnsi="Arial" w:cs="Times New Roman"/>
          <w:szCs w:val="20"/>
          <w:lang w:eastAsia="en-GB"/>
        </w:rPr>
      </w:pPr>
    </w:p>
    <w:p w14:paraId="23036FD0" w14:textId="77777777" w:rsidR="00CE3AB7" w:rsidRPr="00CE3AB7" w:rsidRDefault="00CE3AB7" w:rsidP="00CE3AB7">
      <w:pPr>
        <w:spacing w:after="0" w:line="240" w:lineRule="auto"/>
        <w:jc w:val="both"/>
        <w:rPr>
          <w:rFonts w:ascii="Arial" w:eastAsia="Times New Roman" w:hAnsi="Arial" w:cs="Times New Roman"/>
          <w:b/>
          <w:sz w:val="24"/>
          <w:szCs w:val="20"/>
          <w:lang w:eastAsia="en-GB"/>
        </w:rPr>
      </w:pPr>
      <w:r w:rsidRPr="00CE3AB7">
        <w:rPr>
          <w:rFonts w:ascii="Arial" w:eastAsia="Times New Roman" w:hAnsi="Arial" w:cs="Times New Roman"/>
          <w:b/>
          <w:sz w:val="24"/>
          <w:szCs w:val="20"/>
          <w:lang w:eastAsia="en-GB"/>
        </w:rPr>
        <w:t xml:space="preserve">4. Gender pay gap quartiles </w:t>
      </w:r>
    </w:p>
    <w:p w14:paraId="55E539FB" w14:textId="77777777" w:rsidR="00CE3AB7" w:rsidRPr="00CE3AB7" w:rsidRDefault="00CE3AB7" w:rsidP="00CE3AB7">
      <w:pPr>
        <w:spacing w:after="0" w:line="240" w:lineRule="auto"/>
        <w:jc w:val="both"/>
        <w:rPr>
          <w:rFonts w:eastAsia="Times New Roman" w:cstheme="minorHAnsi"/>
          <w:szCs w:val="20"/>
          <w:lang w:eastAsia="en-GB"/>
        </w:rPr>
      </w:pPr>
      <w:r w:rsidRPr="00CE3AB7">
        <w:rPr>
          <w:rFonts w:eastAsia="Times New Roman" w:cstheme="minorHAnsi"/>
          <w:szCs w:val="20"/>
          <w:lang w:eastAsia="en-GB"/>
        </w:rPr>
        <w:t>The percentage of males and females in each pay quartile is as follows:</w:t>
      </w:r>
    </w:p>
    <w:p w14:paraId="55EE2D98" w14:textId="6FFC5BD3" w:rsidR="00CE3AB7" w:rsidRPr="00CE3AB7" w:rsidRDefault="00CE3AB7" w:rsidP="00CE3AB7">
      <w:pPr>
        <w:spacing w:after="0" w:line="240" w:lineRule="auto"/>
        <w:jc w:val="both"/>
        <w:rPr>
          <w:rFonts w:ascii="Arial" w:eastAsia="Times New Roman" w:hAnsi="Arial" w:cs="Times New Roman"/>
          <w:szCs w:val="20"/>
          <w:lang w:eastAsia="en-GB"/>
        </w:rPr>
      </w:pPr>
    </w:p>
    <w:p w14:paraId="2D581123" w14:textId="61B53F63" w:rsidR="00CE3AB7" w:rsidRDefault="00CE3AB7" w:rsidP="00CE3AB7">
      <w:pPr>
        <w:spacing w:after="0" w:line="240" w:lineRule="auto"/>
        <w:jc w:val="both"/>
        <w:rPr>
          <w:noProof/>
        </w:rPr>
      </w:pPr>
    </w:p>
    <w:p w14:paraId="014DA9E3" w14:textId="36C35203" w:rsidR="0039541F" w:rsidRDefault="0039541F" w:rsidP="00CE3AB7">
      <w:pPr>
        <w:spacing w:after="0" w:line="240" w:lineRule="auto"/>
        <w:jc w:val="both"/>
        <w:rPr>
          <w:noProof/>
        </w:rPr>
      </w:pPr>
      <w:r>
        <w:rPr>
          <w:noProof/>
        </w:rPr>
        <w:drawing>
          <wp:inline distT="0" distB="0" distL="0" distR="0" wp14:anchorId="7E2E09BD" wp14:editId="473890E5">
            <wp:extent cx="6043614" cy="2486027"/>
            <wp:effectExtent l="0" t="0" r="14605" b="9525"/>
            <wp:docPr id="10" name="Chart 10">
              <a:extLst xmlns:a="http://schemas.openxmlformats.org/drawingml/2006/main">
                <a:ext uri="{FF2B5EF4-FFF2-40B4-BE49-F238E27FC236}">
                  <a16:creationId xmlns:a16="http://schemas.microsoft.com/office/drawing/2014/main" id="{1DA00D51-1DDE-4156-8CC2-363DAEDFC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B664A3" w14:textId="4C4AC566" w:rsidR="0039541F" w:rsidRDefault="0039541F" w:rsidP="00CE3AB7">
      <w:pPr>
        <w:spacing w:after="0" w:line="240" w:lineRule="auto"/>
        <w:jc w:val="both"/>
        <w:rPr>
          <w:noProof/>
        </w:rPr>
      </w:pPr>
    </w:p>
    <w:p w14:paraId="6B83CA72" w14:textId="39FA62F0" w:rsidR="0039541F" w:rsidRDefault="0039541F" w:rsidP="00CE3AB7">
      <w:pPr>
        <w:spacing w:after="0" w:line="240" w:lineRule="auto"/>
        <w:jc w:val="both"/>
        <w:rPr>
          <w:noProof/>
        </w:rPr>
      </w:pPr>
    </w:p>
    <w:p w14:paraId="26963B4A" w14:textId="77777777" w:rsidR="00CE3AB7" w:rsidRPr="00CE3AB7" w:rsidRDefault="00CE3AB7" w:rsidP="00CE3AB7">
      <w:pPr>
        <w:spacing w:after="0" w:line="240" w:lineRule="auto"/>
        <w:jc w:val="both"/>
        <w:rPr>
          <w:rFonts w:ascii="Arial" w:eastAsia="Times New Roman" w:hAnsi="Arial" w:cs="Times New Roman"/>
          <w:szCs w:val="20"/>
          <w:lang w:eastAsia="en-GB"/>
        </w:rPr>
      </w:pPr>
    </w:p>
    <w:p w14:paraId="6C6D5BF9" w14:textId="069B90FF" w:rsidR="00CE3AB7" w:rsidRPr="00CE3AB7" w:rsidRDefault="00CE3AB7" w:rsidP="00CE3AB7">
      <w:pPr>
        <w:spacing w:after="0" w:line="240" w:lineRule="auto"/>
        <w:jc w:val="both"/>
        <w:rPr>
          <w:rFonts w:eastAsia="Times New Roman" w:cstheme="minorHAnsi"/>
          <w:szCs w:val="20"/>
          <w:lang w:eastAsia="en-GB"/>
        </w:rPr>
      </w:pPr>
      <w:r w:rsidRPr="00CE3AB7">
        <w:rPr>
          <w:rFonts w:eastAsia="Times New Roman" w:cstheme="minorHAnsi"/>
          <w:szCs w:val="20"/>
          <w:lang w:eastAsia="en-GB"/>
        </w:rPr>
        <w:t xml:space="preserve">The manufacturing sector is recognised to be a male dominated industry. Our male / female workforce split is representative of this and will therefore affect our Gender Pay Gap figures. </w:t>
      </w:r>
      <w:r w:rsidR="00B1774C" w:rsidRPr="00CE3AB7">
        <w:rPr>
          <w:rFonts w:eastAsia="Times New Roman" w:cstheme="minorHAnsi"/>
          <w:szCs w:val="20"/>
          <w:lang w:eastAsia="en-GB"/>
        </w:rPr>
        <w:t>Therefore,</w:t>
      </w:r>
      <w:r w:rsidRPr="00CE3AB7">
        <w:rPr>
          <w:rFonts w:eastAsia="Times New Roman" w:cstheme="minorHAnsi"/>
          <w:szCs w:val="20"/>
          <w:lang w:eastAsia="en-GB"/>
        </w:rPr>
        <w:t xml:space="preserve"> it is important to remember our calculations are based on a workforce made up of </w:t>
      </w:r>
      <w:r w:rsidR="000245B3">
        <w:rPr>
          <w:rFonts w:eastAsia="Times New Roman" w:cstheme="minorHAnsi"/>
          <w:szCs w:val="20"/>
          <w:lang w:eastAsia="en-GB"/>
        </w:rPr>
        <w:t>7</w:t>
      </w:r>
      <w:r w:rsidRPr="00CE3AB7">
        <w:rPr>
          <w:rFonts w:eastAsia="Times New Roman" w:cstheme="minorHAnsi"/>
          <w:szCs w:val="20"/>
          <w:lang w:eastAsia="en-GB"/>
        </w:rPr>
        <w:t xml:space="preserve">% women and </w:t>
      </w:r>
      <w:r w:rsidR="000245B3">
        <w:rPr>
          <w:rFonts w:eastAsia="Times New Roman" w:cstheme="minorHAnsi"/>
          <w:szCs w:val="20"/>
          <w:lang w:eastAsia="en-GB"/>
        </w:rPr>
        <w:t>93</w:t>
      </w:r>
      <w:r w:rsidRPr="00CE3AB7">
        <w:rPr>
          <w:rFonts w:eastAsia="Times New Roman" w:cstheme="minorHAnsi"/>
          <w:szCs w:val="20"/>
          <w:lang w:eastAsia="en-GB"/>
        </w:rPr>
        <w:t xml:space="preserve">% men. </w:t>
      </w:r>
      <w:r w:rsidRPr="0039541F">
        <w:rPr>
          <w:rFonts w:eastAsia="Times New Roman" w:cstheme="minorHAnsi"/>
          <w:szCs w:val="20"/>
          <w:lang w:eastAsia="en-GB"/>
        </w:rPr>
        <w:t xml:space="preserve">Our results highlight the greatest concentration of female employees is in the lower quartile, </w:t>
      </w:r>
      <w:r w:rsidR="00F74267" w:rsidRPr="0039541F">
        <w:rPr>
          <w:rFonts w:eastAsia="Times New Roman" w:cstheme="minorHAnsi"/>
          <w:szCs w:val="20"/>
          <w:lang w:eastAsia="en-GB"/>
        </w:rPr>
        <w:t xml:space="preserve">followed by the </w:t>
      </w:r>
      <w:r w:rsidR="00887FA0" w:rsidRPr="0039541F">
        <w:rPr>
          <w:rFonts w:eastAsia="Times New Roman" w:cstheme="minorHAnsi"/>
          <w:szCs w:val="20"/>
          <w:lang w:eastAsia="en-GB"/>
        </w:rPr>
        <w:t>upper</w:t>
      </w:r>
      <w:r w:rsidR="0039541F" w:rsidRPr="0039541F">
        <w:rPr>
          <w:rFonts w:eastAsia="Times New Roman" w:cstheme="minorHAnsi"/>
          <w:szCs w:val="20"/>
          <w:lang w:eastAsia="en-GB"/>
        </w:rPr>
        <w:t xml:space="preserve"> quartile, then upper middle quartile, with no female employees in the lower middle quartile.</w:t>
      </w:r>
      <w:r w:rsidR="00A77ADE">
        <w:rPr>
          <w:rFonts w:eastAsia="Times New Roman" w:cstheme="minorHAnsi"/>
          <w:szCs w:val="20"/>
          <w:lang w:eastAsia="en-GB"/>
        </w:rPr>
        <w:t xml:space="preserve"> </w:t>
      </w:r>
    </w:p>
    <w:p w14:paraId="35A69B98" w14:textId="77777777" w:rsidR="00CE3AB7" w:rsidRPr="00CE3AB7" w:rsidRDefault="00CE3AB7" w:rsidP="00CE3AB7">
      <w:pPr>
        <w:spacing w:after="0" w:line="240" w:lineRule="auto"/>
        <w:jc w:val="both"/>
        <w:rPr>
          <w:rFonts w:ascii="Arial" w:eastAsia="Times New Roman" w:hAnsi="Arial" w:cs="Times New Roman"/>
          <w:szCs w:val="20"/>
          <w:lang w:eastAsia="en-GB"/>
        </w:rPr>
      </w:pPr>
    </w:p>
    <w:p w14:paraId="53ABF813" w14:textId="77777777" w:rsidR="00CE3AB7" w:rsidRPr="00CE3AB7" w:rsidRDefault="00CE3AB7" w:rsidP="00CE3AB7">
      <w:pPr>
        <w:spacing w:after="0" w:line="240" w:lineRule="auto"/>
        <w:jc w:val="both"/>
        <w:rPr>
          <w:rFonts w:ascii="Arial" w:eastAsia="Times New Roman" w:hAnsi="Arial" w:cs="Times New Roman"/>
          <w:b/>
          <w:sz w:val="24"/>
          <w:szCs w:val="20"/>
          <w:lang w:eastAsia="en-GB"/>
        </w:rPr>
      </w:pPr>
      <w:r w:rsidRPr="00CE3AB7">
        <w:rPr>
          <w:rFonts w:ascii="Arial" w:eastAsia="Times New Roman" w:hAnsi="Arial" w:cs="Times New Roman"/>
          <w:b/>
          <w:sz w:val="24"/>
          <w:szCs w:val="20"/>
          <w:lang w:eastAsia="en-GB"/>
        </w:rPr>
        <w:t>Future commitment</w:t>
      </w:r>
    </w:p>
    <w:p w14:paraId="0758D349" w14:textId="77777777" w:rsidR="00CE3AB7" w:rsidRPr="00CE3AB7" w:rsidRDefault="00CE3AB7" w:rsidP="00CE3AB7">
      <w:pPr>
        <w:spacing w:after="0" w:line="240" w:lineRule="auto"/>
        <w:jc w:val="both"/>
        <w:rPr>
          <w:rFonts w:eastAsia="Times New Roman" w:cstheme="minorHAnsi"/>
          <w:szCs w:val="20"/>
          <w:lang w:eastAsia="en-GB"/>
        </w:rPr>
      </w:pPr>
      <w:r w:rsidRPr="00CE3AB7">
        <w:rPr>
          <w:rFonts w:eastAsia="Times New Roman" w:cstheme="minorHAnsi"/>
          <w:szCs w:val="20"/>
          <w:lang w:eastAsia="en-GB"/>
        </w:rPr>
        <w:t>We remain committed to ensuring that all employees are treated fairly and consistently and that no employee is treated adversely due to gender or any other characteristic such as nationality, ethnicity or age.</w:t>
      </w:r>
    </w:p>
    <w:p w14:paraId="75AE5DF3" w14:textId="77777777" w:rsidR="00CE3AB7" w:rsidRPr="00CE3AB7" w:rsidRDefault="00CE3AB7" w:rsidP="00CE3AB7">
      <w:pPr>
        <w:spacing w:after="0" w:line="240" w:lineRule="auto"/>
        <w:jc w:val="both"/>
        <w:rPr>
          <w:rFonts w:eastAsia="Times New Roman" w:cstheme="minorHAnsi"/>
          <w:szCs w:val="20"/>
          <w:lang w:eastAsia="en-GB"/>
        </w:rPr>
      </w:pPr>
    </w:p>
    <w:p w14:paraId="3D572997" w14:textId="77777777" w:rsidR="00CE3AB7" w:rsidRPr="00CE3AB7" w:rsidRDefault="00CE3AB7" w:rsidP="00CE3AB7">
      <w:pPr>
        <w:spacing w:after="0" w:line="240" w:lineRule="auto"/>
        <w:jc w:val="both"/>
        <w:rPr>
          <w:rFonts w:eastAsia="Times New Roman" w:cstheme="minorHAnsi"/>
          <w:szCs w:val="20"/>
          <w:lang w:eastAsia="en-GB"/>
        </w:rPr>
      </w:pPr>
      <w:r w:rsidRPr="00CE3AB7">
        <w:rPr>
          <w:rFonts w:eastAsia="Times New Roman" w:cstheme="minorHAnsi"/>
          <w:szCs w:val="20"/>
          <w:lang w:eastAsia="en-GB"/>
        </w:rPr>
        <w:t xml:space="preserve">Attracting talented women into our industry remains a challenge but we are committed both to equality and encouraging a diverse workforce. Recruiting, training and retaining an engaged, skilled workforce remains critical to the continued success of the company. </w:t>
      </w:r>
    </w:p>
    <w:p w14:paraId="1779169D" w14:textId="77777777" w:rsidR="00C83C54" w:rsidRPr="00CE3AB7" w:rsidRDefault="00C83C54" w:rsidP="00CE3AB7">
      <w:pPr>
        <w:spacing w:after="0" w:line="240" w:lineRule="auto"/>
        <w:jc w:val="both"/>
        <w:rPr>
          <w:rFonts w:ascii="Arial" w:eastAsia="Times New Roman" w:hAnsi="Arial" w:cs="Times New Roman"/>
          <w:szCs w:val="20"/>
          <w:lang w:eastAsia="en-GB"/>
        </w:rPr>
      </w:pPr>
    </w:p>
    <w:p w14:paraId="1B654999" w14:textId="77777777" w:rsidR="00CE3AB7" w:rsidRPr="00CE3AB7" w:rsidRDefault="00CE3AB7" w:rsidP="00CE3AB7">
      <w:pPr>
        <w:spacing w:after="0" w:line="240" w:lineRule="auto"/>
        <w:jc w:val="both"/>
        <w:rPr>
          <w:rFonts w:ascii="Arial" w:eastAsia="Times New Roman" w:hAnsi="Arial" w:cs="Times New Roman"/>
          <w:b/>
          <w:szCs w:val="20"/>
          <w:lang w:eastAsia="en-GB"/>
        </w:rPr>
      </w:pPr>
      <w:r w:rsidRPr="00CE3AB7">
        <w:rPr>
          <w:rFonts w:ascii="Arial" w:eastAsia="Times New Roman" w:hAnsi="Arial" w:cs="Times New Roman"/>
          <w:b/>
          <w:szCs w:val="20"/>
          <w:lang w:eastAsia="en-GB"/>
        </w:rPr>
        <w:t>Tracy Mcloughlin</w:t>
      </w:r>
    </w:p>
    <w:p w14:paraId="17C52DC7" w14:textId="77777777" w:rsidR="00CE3AB7" w:rsidRPr="00CE3AB7" w:rsidRDefault="00CE3AB7" w:rsidP="00CE3AB7">
      <w:pPr>
        <w:spacing w:after="0" w:line="240" w:lineRule="auto"/>
        <w:jc w:val="both"/>
        <w:rPr>
          <w:rFonts w:ascii="Arial" w:eastAsia="Times New Roman" w:hAnsi="Arial" w:cs="Times New Roman"/>
          <w:b/>
          <w:szCs w:val="20"/>
          <w:lang w:eastAsia="en-GB"/>
        </w:rPr>
      </w:pPr>
      <w:r w:rsidRPr="00CE3AB7">
        <w:rPr>
          <w:rFonts w:ascii="Arial" w:eastAsia="Times New Roman" w:hAnsi="Arial" w:cs="Times New Roman"/>
          <w:b/>
          <w:szCs w:val="20"/>
          <w:lang w:eastAsia="en-GB"/>
        </w:rPr>
        <w:t>Finance Director</w:t>
      </w:r>
    </w:p>
    <w:p w14:paraId="0279F1CE" w14:textId="77777777" w:rsidR="00CE3AB7" w:rsidRPr="00CE3AB7" w:rsidRDefault="00CE3AB7" w:rsidP="00CE3AB7">
      <w:pPr>
        <w:spacing w:after="0" w:line="240" w:lineRule="auto"/>
        <w:jc w:val="both"/>
        <w:rPr>
          <w:rFonts w:ascii="Arial" w:eastAsia="Times New Roman" w:hAnsi="Arial" w:cs="Times New Roman"/>
          <w:b/>
          <w:szCs w:val="20"/>
          <w:lang w:eastAsia="en-GB"/>
        </w:rPr>
      </w:pPr>
      <w:r w:rsidRPr="00CE3AB7">
        <w:rPr>
          <w:rFonts w:ascii="Arial" w:eastAsia="Times New Roman" w:hAnsi="Arial" w:cs="Times New Roman"/>
          <w:b/>
          <w:szCs w:val="20"/>
          <w:lang w:eastAsia="en-GB"/>
        </w:rPr>
        <w:t>William Lee Ltd</w:t>
      </w:r>
    </w:p>
    <w:sectPr w:rsidR="00CE3AB7" w:rsidRPr="00CE3AB7" w:rsidSect="00D00CF5">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F4596" w14:textId="77777777" w:rsidR="00190AD9" w:rsidRDefault="00190AD9" w:rsidP="00D00CF5">
      <w:pPr>
        <w:spacing w:after="0" w:line="240" w:lineRule="auto"/>
      </w:pPr>
      <w:r>
        <w:separator/>
      </w:r>
    </w:p>
  </w:endnote>
  <w:endnote w:type="continuationSeparator" w:id="0">
    <w:p w14:paraId="19F68B14" w14:textId="77777777" w:rsidR="00190AD9" w:rsidRDefault="00190AD9" w:rsidP="00D0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F5B4" w14:textId="77777777" w:rsidR="00CB7147" w:rsidRDefault="00CB7147">
    <w:pPr>
      <w:pStyle w:val="Footer"/>
    </w:pPr>
    <w:r>
      <w:rPr>
        <w:noProof/>
        <w:lang w:val="en-US"/>
      </w:rPr>
      <w:drawing>
        <wp:anchor distT="0" distB="0" distL="114300" distR="114300" simplePos="0" relativeHeight="251663360" behindDoc="0" locked="0" layoutInCell="1" allowOverlap="1" wp14:anchorId="28388583" wp14:editId="1B66AF5C">
          <wp:simplePos x="0" y="0"/>
          <wp:positionH relativeFrom="column">
            <wp:posOffset>1381125</wp:posOffset>
          </wp:positionH>
          <wp:positionV relativeFrom="paragraph">
            <wp:posOffset>60960</wp:posOffset>
          </wp:positionV>
          <wp:extent cx="628650" cy="647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1.jpg"/>
                  <pic:cNvPicPr/>
                </pic:nvPicPr>
                <pic:blipFill>
                  <a:blip r:embed="rId1">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4D621BD0" wp14:editId="47D1C7AA">
          <wp:simplePos x="0" y="0"/>
          <wp:positionH relativeFrom="column">
            <wp:posOffset>685800</wp:posOffset>
          </wp:positionH>
          <wp:positionV relativeFrom="paragraph">
            <wp:posOffset>60960</wp:posOffset>
          </wp:positionV>
          <wp:extent cx="647700" cy="650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3.jpg"/>
                  <pic:cNvPicPr/>
                </pic:nvPicPr>
                <pic:blipFill>
                  <a:blip r:embed="rId2">
                    <a:extLst>
                      <a:ext uri="{28A0092B-C50C-407E-A947-70E740481C1C}">
                        <a14:useLocalDpi xmlns:a14="http://schemas.microsoft.com/office/drawing/2010/main" val="0"/>
                      </a:ext>
                    </a:extLst>
                  </a:blip>
                  <a:stretch>
                    <a:fillRect/>
                  </a:stretch>
                </pic:blipFill>
                <pic:spPr>
                  <a:xfrm>
                    <a:off x="0" y="0"/>
                    <a:ext cx="647700" cy="6502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55E59B13" wp14:editId="647B0B55">
          <wp:simplePos x="0" y="0"/>
          <wp:positionH relativeFrom="margin">
            <wp:posOffset>0</wp:posOffset>
          </wp:positionH>
          <wp:positionV relativeFrom="paragraph">
            <wp:posOffset>63500</wp:posOffset>
          </wp:positionV>
          <wp:extent cx="638175" cy="64897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2.jpg"/>
                  <pic:cNvPicPr/>
                </pic:nvPicPr>
                <pic:blipFill>
                  <a:blip r:embed="rId3">
                    <a:extLst>
                      <a:ext uri="{28A0092B-C50C-407E-A947-70E740481C1C}">
                        <a14:useLocalDpi xmlns:a14="http://schemas.microsoft.com/office/drawing/2010/main" val="0"/>
                      </a:ext>
                    </a:extLst>
                  </a:blip>
                  <a:stretch>
                    <a:fillRect/>
                  </a:stretch>
                </pic:blipFill>
                <pic:spPr>
                  <a:xfrm>
                    <a:off x="0" y="0"/>
                    <a:ext cx="638175" cy="648970"/>
                  </a:xfrm>
                  <a:prstGeom prst="rect">
                    <a:avLst/>
                  </a:prstGeom>
                </pic:spPr>
              </pic:pic>
            </a:graphicData>
          </a:graphic>
          <wp14:sizeRelH relativeFrom="page">
            <wp14:pctWidth>0</wp14:pctWidth>
          </wp14:sizeRelH>
          <wp14:sizeRelV relativeFrom="page">
            <wp14:pctHeight>0</wp14:pctHeight>
          </wp14:sizeRelV>
        </wp:anchor>
      </w:drawing>
    </w:r>
  </w:p>
  <w:p w14:paraId="73DED7D3" w14:textId="77777777" w:rsidR="00CB7147" w:rsidRPr="00CB7147" w:rsidRDefault="00CB7147" w:rsidP="00CB7147">
    <w:pPr>
      <w:pStyle w:val="Footer"/>
      <w:jc w:val="center"/>
      <w:rPr>
        <w:b/>
        <w:color w:val="FF0000"/>
      </w:rPr>
    </w:pPr>
    <w:r w:rsidRPr="00CB7147">
      <w:rPr>
        <w:b/>
        <w:color w:val="FF0000"/>
      </w:rPr>
      <w:t>Reg. in England No. 2575974</w:t>
    </w:r>
  </w:p>
  <w:p w14:paraId="470AA6E6" w14:textId="77777777" w:rsidR="00CB7147" w:rsidRPr="00CB7147" w:rsidRDefault="00CB7147" w:rsidP="00CB7147">
    <w:pPr>
      <w:pStyle w:val="Footer"/>
      <w:tabs>
        <w:tab w:val="clear" w:pos="9026"/>
        <w:tab w:val="left" w:pos="4513"/>
      </w:tabs>
      <w:jc w:val="center"/>
      <w:rPr>
        <w:b/>
        <w:color w:val="FF0000"/>
      </w:rPr>
    </w:pPr>
    <w:r w:rsidRPr="00CB7147">
      <w:rPr>
        <w:b/>
        <w:color w:val="FF0000"/>
      </w:rPr>
      <w:t>A Subsidiary of Castings PLC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57D04" w14:textId="77777777" w:rsidR="00190AD9" w:rsidRDefault="00190AD9" w:rsidP="00D00CF5">
      <w:pPr>
        <w:spacing w:after="0" w:line="240" w:lineRule="auto"/>
      </w:pPr>
      <w:r>
        <w:separator/>
      </w:r>
    </w:p>
  </w:footnote>
  <w:footnote w:type="continuationSeparator" w:id="0">
    <w:p w14:paraId="547D796C" w14:textId="77777777" w:rsidR="00190AD9" w:rsidRDefault="00190AD9" w:rsidP="00D00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1EA6" w14:textId="77777777" w:rsidR="00D00CF5" w:rsidRPr="00D00CF5" w:rsidRDefault="00D00CF5" w:rsidP="00D00CF5">
    <w:pPr>
      <w:pStyle w:val="Header"/>
      <w:jc w:val="right"/>
      <w:rPr>
        <w:b/>
        <w:sz w:val="2"/>
      </w:rPr>
    </w:pPr>
  </w:p>
  <w:p w14:paraId="33B69B80" w14:textId="77777777" w:rsidR="00D00CF5" w:rsidRPr="00D00CF5" w:rsidRDefault="00D00CF5" w:rsidP="00D00CF5">
    <w:pPr>
      <w:pStyle w:val="Header"/>
      <w:rPr>
        <w:b/>
        <w:color w:val="2F5496" w:themeColor="accent1" w:themeShade="BF"/>
      </w:rPr>
    </w:pPr>
    <w:r>
      <w:rPr>
        <w:b/>
        <w:color w:val="2F5496" w:themeColor="accent1" w:themeShade="BF"/>
      </w:rPr>
      <w:tab/>
    </w:r>
    <w:r>
      <w:rPr>
        <w:b/>
        <w:color w:val="2F5496" w:themeColor="accent1" w:themeShade="B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900D1E"/>
    <w:multiLevelType w:val="hybridMultilevel"/>
    <w:tmpl w:val="CE4E4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CF5"/>
    <w:rsid w:val="0000723E"/>
    <w:rsid w:val="000166ED"/>
    <w:rsid w:val="000245B3"/>
    <w:rsid w:val="00043F0D"/>
    <w:rsid w:val="000A03AF"/>
    <w:rsid w:val="00126CE7"/>
    <w:rsid w:val="0018598E"/>
    <w:rsid w:val="00190AD9"/>
    <w:rsid w:val="001D14A0"/>
    <w:rsid w:val="00224C2F"/>
    <w:rsid w:val="0028147D"/>
    <w:rsid w:val="00281B3F"/>
    <w:rsid w:val="0028560E"/>
    <w:rsid w:val="002B1CDD"/>
    <w:rsid w:val="002B535E"/>
    <w:rsid w:val="002B7428"/>
    <w:rsid w:val="002C6CB7"/>
    <w:rsid w:val="003121B1"/>
    <w:rsid w:val="003551AF"/>
    <w:rsid w:val="00376351"/>
    <w:rsid w:val="0039541F"/>
    <w:rsid w:val="00406E76"/>
    <w:rsid w:val="004A70C7"/>
    <w:rsid w:val="005D2F25"/>
    <w:rsid w:val="00646381"/>
    <w:rsid w:val="0067078A"/>
    <w:rsid w:val="00716778"/>
    <w:rsid w:val="00770967"/>
    <w:rsid w:val="00887FA0"/>
    <w:rsid w:val="008A03C8"/>
    <w:rsid w:val="008E3FFE"/>
    <w:rsid w:val="009363DA"/>
    <w:rsid w:val="00957C2D"/>
    <w:rsid w:val="009E1D80"/>
    <w:rsid w:val="009E4937"/>
    <w:rsid w:val="00A77ADE"/>
    <w:rsid w:val="00AE2C79"/>
    <w:rsid w:val="00AF1777"/>
    <w:rsid w:val="00B01E43"/>
    <w:rsid w:val="00B1774C"/>
    <w:rsid w:val="00B216FF"/>
    <w:rsid w:val="00B30DCD"/>
    <w:rsid w:val="00B60D5D"/>
    <w:rsid w:val="00B97CC1"/>
    <w:rsid w:val="00BD2A73"/>
    <w:rsid w:val="00C10851"/>
    <w:rsid w:val="00C13A2F"/>
    <w:rsid w:val="00C679E2"/>
    <w:rsid w:val="00C83C54"/>
    <w:rsid w:val="00C969C1"/>
    <w:rsid w:val="00CB7147"/>
    <w:rsid w:val="00CE3AB7"/>
    <w:rsid w:val="00D00CF5"/>
    <w:rsid w:val="00D22FEE"/>
    <w:rsid w:val="00D629B1"/>
    <w:rsid w:val="00D75D47"/>
    <w:rsid w:val="00DB296A"/>
    <w:rsid w:val="00E01D16"/>
    <w:rsid w:val="00E41578"/>
    <w:rsid w:val="00E4627A"/>
    <w:rsid w:val="00E5508C"/>
    <w:rsid w:val="00EA1F7B"/>
    <w:rsid w:val="00EF7BAD"/>
    <w:rsid w:val="00F230F4"/>
    <w:rsid w:val="00F50FCE"/>
    <w:rsid w:val="00F74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69405"/>
  <w15:chartTrackingRefBased/>
  <w15:docId w15:val="{DE59D79B-7B4A-4730-933D-0B65FA3A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C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CF5"/>
  </w:style>
  <w:style w:type="paragraph" w:styleId="Footer">
    <w:name w:val="footer"/>
    <w:basedOn w:val="Normal"/>
    <w:link w:val="FooterChar"/>
    <w:uiPriority w:val="99"/>
    <w:unhideWhenUsed/>
    <w:rsid w:val="00D00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CF5"/>
  </w:style>
  <w:style w:type="paragraph" w:styleId="BalloonText">
    <w:name w:val="Balloon Text"/>
    <w:basedOn w:val="Normal"/>
    <w:link w:val="BalloonTextChar"/>
    <w:uiPriority w:val="99"/>
    <w:semiHidden/>
    <w:unhideWhenUsed/>
    <w:rsid w:val="00CB7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147"/>
    <w:rPr>
      <w:rFonts w:ascii="Segoe UI" w:hAnsi="Segoe UI" w:cs="Segoe UI"/>
      <w:sz w:val="18"/>
      <w:szCs w:val="18"/>
    </w:rPr>
  </w:style>
  <w:style w:type="table" w:styleId="TableGrid">
    <w:name w:val="Table Grid"/>
    <w:basedOn w:val="TableNormal"/>
    <w:uiPriority w:val="39"/>
    <w:rsid w:val="00B01E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70004980609199E-2"/>
          <c:y val="0.15434078391074971"/>
          <c:w val="0.93194275004243776"/>
          <c:h val="0.64813136925796255"/>
        </c:manualLayout>
      </c:layout>
      <c:barChart>
        <c:barDir val="col"/>
        <c:grouping val="clustered"/>
        <c:varyColors val="0"/>
        <c:ser>
          <c:idx val="0"/>
          <c:order val="0"/>
          <c:tx>
            <c:strRef>
              <c:f>'Quartile Pay Bands'!$G$126</c:f>
              <c:strCache>
                <c:ptCount val="1"/>
                <c:pt idx="0">
                  <c:v>Male</c:v>
                </c:pt>
              </c:strCache>
            </c:strRef>
          </c:tx>
          <c:spPr>
            <a:solidFill>
              <a:schemeClr val="accent1"/>
            </a:solidFill>
            <a:ln>
              <a:noFill/>
            </a:ln>
            <a:effectLst/>
          </c:spPr>
          <c:invertIfNegative val="0"/>
          <c:cat>
            <c:strRef>
              <c:f>'Quartile Pay Bands'!$H$125:$K$125</c:f>
              <c:strCache>
                <c:ptCount val="4"/>
                <c:pt idx="0">
                  <c:v>Lower</c:v>
                </c:pt>
                <c:pt idx="1">
                  <c:v>Lower middle</c:v>
                </c:pt>
                <c:pt idx="2">
                  <c:v>Upper middle</c:v>
                </c:pt>
                <c:pt idx="3">
                  <c:v>Upper</c:v>
                </c:pt>
              </c:strCache>
            </c:strRef>
          </c:cat>
          <c:val>
            <c:numRef>
              <c:f>'Quartile Pay Bands'!$H$126:$K$126</c:f>
              <c:numCache>
                <c:formatCode>0%</c:formatCode>
                <c:ptCount val="4"/>
                <c:pt idx="0">
                  <c:v>0.7857142857142857</c:v>
                </c:pt>
                <c:pt idx="1">
                  <c:v>1</c:v>
                </c:pt>
                <c:pt idx="2">
                  <c:v>0.96551724137931039</c:v>
                </c:pt>
                <c:pt idx="3">
                  <c:v>0.86206896551724133</c:v>
                </c:pt>
              </c:numCache>
            </c:numRef>
          </c:val>
          <c:extLst>
            <c:ext xmlns:c16="http://schemas.microsoft.com/office/drawing/2014/chart" uri="{C3380CC4-5D6E-409C-BE32-E72D297353CC}">
              <c16:uniqueId val="{00000000-966D-4C1D-B44C-B723EA80F371}"/>
            </c:ext>
          </c:extLst>
        </c:ser>
        <c:ser>
          <c:idx val="1"/>
          <c:order val="1"/>
          <c:tx>
            <c:strRef>
              <c:f>'Quartile Pay Bands'!$G$127</c:f>
              <c:strCache>
                <c:ptCount val="1"/>
                <c:pt idx="0">
                  <c:v>Female</c:v>
                </c:pt>
              </c:strCache>
            </c:strRef>
          </c:tx>
          <c:spPr>
            <a:solidFill>
              <a:schemeClr val="accent2"/>
            </a:solidFill>
            <a:ln>
              <a:noFill/>
            </a:ln>
            <a:effectLst/>
          </c:spPr>
          <c:invertIfNegative val="0"/>
          <c:cat>
            <c:strRef>
              <c:f>'Quartile Pay Bands'!$H$125:$K$125</c:f>
              <c:strCache>
                <c:ptCount val="4"/>
                <c:pt idx="0">
                  <c:v>Lower</c:v>
                </c:pt>
                <c:pt idx="1">
                  <c:v>Lower middle</c:v>
                </c:pt>
                <c:pt idx="2">
                  <c:v>Upper middle</c:v>
                </c:pt>
                <c:pt idx="3">
                  <c:v>Upper</c:v>
                </c:pt>
              </c:strCache>
            </c:strRef>
          </c:cat>
          <c:val>
            <c:numRef>
              <c:f>'Quartile Pay Bands'!$H$127:$K$127</c:f>
              <c:numCache>
                <c:formatCode>0%</c:formatCode>
                <c:ptCount val="4"/>
                <c:pt idx="0">
                  <c:v>0.21428571428571427</c:v>
                </c:pt>
                <c:pt idx="1">
                  <c:v>0</c:v>
                </c:pt>
                <c:pt idx="2">
                  <c:v>3.4482758620689655E-2</c:v>
                </c:pt>
                <c:pt idx="3">
                  <c:v>0.13793103448275862</c:v>
                </c:pt>
              </c:numCache>
            </c:numRef>
          </c:val>
          <c:extLst>
            <c:ext xmlns:c16="http://schemas.microsoft.com/office/drawing/2014/chart" uri="{C3380CC4-5D6E-409C-BE32-E72D297353CC}">
              <c16:uniqueId val="{00000001-966D-4C1D-B44C-B723EA80F371}"/>
            </c:ext>
          </c:extLst>
        </c:ser>
        <c:dLbls>
          <c:showLegendKey val="0"/>
          <c:showVal val="0"/>
          <c:showCatName val="0"/>
          <c:showSerName val="0"/>
          <c:showPercent val="0"/>
          <c:showBubbleSize val="0"/>
        </c:dLbls>
        <c:gapWidth val="219"/>
        <c:overlap val="-27"/>
        <c:axId val="1078739816"/>
        <c:axId val="1078741784"/>
      </c:barChart>
      <c:catAx>
        <c:axId val="107873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741784"/>
        <c:crosses val="autoZero"/>
        <c:auto val="1"/>
        <c:lblAlgn val="ctr"/>
        <c:lblOffset val="100"/>
        <c:noMultiLvlLbl val="0"/>
      </c:catAx>
      <c:valAx>
        <c:axId val="10787417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739816"/>
        <c:crosses val="autoZero"/>
        <c:crossBetween val="between"/>
        <c:majorUnit val="0.2"/>
      </c:valAx>
      <c:spPr>
        <a:noFill/>
        <a:ln>
          <a:noFill/>
        </a:ln>
        <a:effectLst/>
      </c:spPr>
    </c:plotArea>
    <c:legend>
      <c:legendPos val="b"/>
      <c:layout>
        <c:manualLayout>
          <c:xMode val="edge"/>
          <c:yMode val="edge"/>
          <c:x val="0.44226923643716692"/>
          <c:y val="0.89335429919426823"/>
          <c:w val="0.15247408150033084"/>
          <c:h val="8.0922236820606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Patrick</dc:creator>
  <cp:keywords/>
  <dc:description/>
  <cp:lastModifiedBy>Tracy McLoughlin</cp:lastModifiedBy>
  <cp:revision>6</cp:revision>
  <cp:lastPrinted>2021-10-04T11:10:00Z</cp:lastPrinted>
  <dcterms:created xsi:type="dcterms:W3CDTF">2021-10-04T09:43:00Z</dcterms:created>
  <dcterms:modified xsi:type="dcterms:W3CDTF">2021-10-04T14:41:00Z</dcterms:modified>
</cp:coreProperties>
</file>